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8"/>
      </w:tblGrid>
      <w:tr w:rsidR="006B25E2" w:rsidRPr="006B25E2">
        <w:trPr>
          <w:tblCellSpacing w:w="0" w:type="dxa"/>
        </w:trPr>
        <w:tc>
          <w:tcPr>
            <w:tcW w:w="0" w:type="auto"/>
            <w:tcMar>
              <w:top w:w="204" w:type="dxa"/>
              <w:left w:w="136" w:type="dxa"/>
              <w:bottom w:w="204" w:type="dxa"/>
              <w:right w:w="136" w:type="dxa"/>
            </w:tcMar>
            <w:vAlign w:val="center"/>
            <w:hideMark/>
          </w:tcPr>
          <w:p w:rsidR="006B25E2" w:rsidRPr="006B25E2" w:rsidRDefault="006B25E2" w:rsidP="006B25E2">
            <w:pPr>
              <w:widowControl/>
              <w:wordWrap/>
              <w:autoSpaceDE/>
              <w:autoSpaceDN/>
              <w:spacing w:line="367" w:lineRule="atLeast"/>
              <w:jc w:val="left"/>
              <w:rPr>
                <w:rFonts w:ascii="돋움" w:eastAsia="돋움" w:hAnsi="돋움" w:cs="굴림"/>
                <w:b/>
                <w:bCs/>
                <w:color w:val="000000"/>
                <w:spacing w:val="-41"/>
                <w:kern w:val="0"/>
                <w:sz w:val="33"/>
                <w:szCs w:val="33"/>
              </w:rPr>
            </w:pPr>
            <w:r w:rsidRPr="006B25E2">
              <w:rPr>
                <w:rFonts w:ascii="돋움" w:eastAsia="돋움" w:hAnsi="돋움" w:cs="굴림" w:hint="eastAsia"/>
                <w:b/>
                <w:bCs/>
                <w:color w:val="000000"/>
                <w:spacing w:val="-41"/>
                <w:kern w:val="0"/>
                <w:sz w:val="33"/>
                <w:szCs w:val="33"/>
              </w:rPr>
              <w:t>KT 노조선거, 결국 강행 ‘막장’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line="190" w:lineRule="atLeast"/>
              <w:jc w:val="left"/>
              <w:rPr>
                <w:rFonts w:ascii="돋움" w:eastAsia="돋움" w:hAnsi="돋움" w:cs="굴림"/>
                <w:color w:val="7F7F7F"/>
                <w:spacing w:val="-14"/>
                <w:kern w:val="0"/>
                <w:sz w:val="15"/>
                <w:szCs w:val="15"/>
              </w:rPr>
            </w:pPr>
            <w:hyperlink r:id="rId5" w:history="1">
              <w:r w:rsidRPr="006B25E2">
                <w:rPr>
                  <w:rFonts w:ascii="돋움" w:eastAsia="돋움" w:hAnsi="돋움" w:cs="굴림" w:hint="eastAsia"/>
                  <w:color w:val="7F7F7F"/>
                  <w:spacing w:val="-14"/>
                  <w:kern w:val="0"/>
                  <w:sz w:val="15"/>
                  <w:szCs w:val="15"/>
                </w:rPr>
                <w:t>[한겨레]</w:t>
              </w:r>
            </w:hyperlink>
            <w:r w:rsidRPr="006B25E2">
              <w:rPr>
                <w:rFonts w:ascii="돋움" w:eastAsia="돋움" w:hAnsi="돋움" w:cs="굴림" w:hint="eastAsia"/>
                <w:color w:val="7F7F7F"/>
                <w:spacing w:val="-14"/>
                <w:kern w:val="0"/>
                <w:sz w:val="15"/>
                <w:szCs w:val="15"/>
              </w:rPr>
              <w:t xml:space="preserve"> </w:t>
            </w:r>
            <w:hyperlink r:id="rId6" w:history="1">
              <w:r w:rsidRPr="006B25E2">
                <w:rPr>
                  <w:rFonts w:ascii="돋움" w:eastAsia="돋움" w:hAnsi="돋움" w:cs="굴림" w:hint="eastAsia"/>
                  <w:color w:val="7F7F7F"/>
                  <w:spacing w:val="-14"/>
                  <w:kern w:val="0"/>
                  <w:sz w:val="15"/>
                  <w:szCs w:val="15"/>
                </w:rPr>
                <w:t>김소연</w:t>
              </w:r>
            </w:hyperlink>
            <w:r w:rsidRPr="006B25E2">
              <w:rPr>
                <w:rFonts w:ascii="돋움" w:eastAsia="돋움" w:hAnsi="돋움" w:cs="굴림" w:hint="eastAsia"/>
                <w:color w:val="7F7F7F"/>
                <w:spacing w:val="-14"/>
                <w:kern w:val="0"/>
                <w:sz w:val="15"/>
                <w:szCs w:val="15"/>
              </w:rPr>
              <w:t xml:space="preserve"> 기자 </w:t>
            </w:r>
            <w:r>
              <w:rPr>
                <w:rFonts w:ascii="돋움" w:eastAsia="돋움" w:hAnsi="돋움" w:cs="굴림"/>
                <w:noProof/>
                <w:color w:val="7F7F7F"/>
                <w:spacing w:val="-14"/>
                <w:kern w:val="0"/>
                <w:sz w:val="15"/>
                <w:szCs w:val="15"/>
              </w:rPr>
              <w:drawing>
                <wp:inline distT="0" distB="0" distL="0" distR="0">
                  <wp:extent cx="137795" cy="112395"/>
                  <wp:effectExtent l="19050" t="0" r="0" b="0"/>
                  <wp:docPr id="1" name="그림 1" descr="기자메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기자메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5E2" w:rsidRPr="006B25E2">
        <w:trPr>
          <w:trHeight w:val="15"/>
          <w:tblCellSpacing w:w="0" w:type="dxa"/>
        </w:trPr>
        <w:tc>
          <w:tcPr>
            <w:tcW w:w="0" w:type="auto"/>
            <w:shd w:val="clear" w:color="auto" w:fill="B0B0B0"/>
            <w:vAlign w:val="center"/>
            <w:hideMark/>
          </w:tcPr>
          <w:p w:rsidR="006B25E2" w:rsidRPr="006B25E2" w:rsidRDefault="006B25E2" w:rsidP="006B25E2">
            <w:pPr>
              <w:widowControl/>
              <w:wordWrap/>
              <w:autoSpaceDE/>
              <w:autoSpaceDN/>
              <w:spacing w:line="2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"/>
                <w:szCs w:val="16"/>
              </w:rPr>
            </w:pPr>
          </w:p>
        </w:tc>
      </w:tr>
    </w:tbl>
    <w:p w:rsidR="006B25E2" w:rsidRPr="006B25E2" w:rsidRDefault="006B25E2" w:rsidP="006B25E2">
      <w:pPr>
        <w:widowControl/>
        <w:wordWrap/>
        <w:autoSpaceDE/>
        <w:autoSpaceDN/>
        <w:spacing w:line="245" w:lineRule="atLeast"/>
        <w:jc w:val="left"/>
        <w:rPr>
          <w:rFonts w:ascii="굴림" w:eastAsia="굴림" w:hAnsi="굴림" w:cs="굴림"/>
          <w:vanish/>
          <w:color w:val="000000"/>
          <w:kern w:val="0"/>
          <w:sz w:val="16"/>
          <w:szCs w:val="16"/>
        </w:rPr>
      </w:pPr>
      <w:r w:rsidRPr="006B25E2">
        <w:rPr>
          <w:rFonts w:ascii="굴림" w:eastAsia="굴림" w:hAnsi="굴림" w:cs="굴림"/>
          <w:color w:val="000000"/>
          <w:kern w:val="0"/>
          <w:sz w:val="16"/>
          <w:szCs w:val="16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26"/>
        <w:gridCol w:w="4200"/>
      </w:tblGrid>
      <w:tr w:rsidR="006B25E2" w:rsidRPr="006B25E2">
        <w:trPr>
          <w:trHeight w:val="255"/>
          <w:tblCellSpacing w:w="0" w:type="dxa"/>
        </w:trPr>
        <w:tc>
          <w:tcPr>
            <w:tcW w:w="0" w:type="auto"/>
            <w:hideMark/>
          </w:tcPr>
          <w:p w:rsidR="006B25E2" w:rsidRPr="006B25E2" w:rsidRDefault="006B25E2" w:rsidP="006B25E2">
            <w:pPr>
              <w:widowControl/>
              <w:wordWrap/>
              <w:autoSpaceDE/>
              <w:autoSpaceDN/>
              <w:spacing w:line="245" w:lineRule="atLeast"/>
              <w:jc w:val="left"/>
              <w:rPr>
                <w:rFonts w:ascii="굴림" w:eastAsia="굴림" w:hAnsi="굴림" w:cs="굴림"/>
                <w:color w:val="777777"/>
                <w:kern w:val="0"/>
                <w:sz w:val="15"/>
                <w:szCs w:val="15"/>
              </w:rPr>
            </w:pPr>
            <w:proofErr w:type="gramStart"/>
            <w:r w:rsidRPr="006B25E2">
              <w:rPr>
                <w:rFonts w:ascii="굴림" w:eastAsia="굴림" w:hAnsi="굴림" w:cs="굴림"/>
                <w:color w:val="777777"/>
                <w:kern w:val="0"/>
                <w:sz w:val="15"/>
                <w:szCs w:val="15"/>
              </w:rPr>
              <w:t>등록 :</w:t>
            </w:r>
            <w:proofErr w:type="gramEnd"/>
            <w:r w:rsidRPr="006B25E2">
              <w:rPr>
                <w:rFonts w:ascii="굴림" w:eastAsia="굴림" w:hAnsi="굴림" w:cs="굴림"/>
                <w:color w:val="777777"/>
                <w:kern w:val="0"/>
                <w:sz w:val="15"/>
                <w:szCs w:val="15"/>
              </w:rPr>
              <w:t xml:space="preserve"> 20111209 19:18 </w:t>
            </w:r>
          </w:p>
        </w:tc>
        <w:tc>
          <w:tcPr>
            <w:tcW w:w="4200" w:type="dxa"/>
            <w:vAlign w:val="center"/>
            <w:hideMark/>
          </w:tcPr>
          <w:p w:rsidR="006B25E2" w:rsidRPr="006B25E2" w:rsidRDefault="006B25E2" w:rsidP="006B25E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5" w:lineRule="atLeast"/>
              <w:ind w:left="0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>
                  <wp:extent cx="43180" cy="43180"/>
                  <wp:effectExtent l="0" t="0" r="0" b="0"/>
                  <wp:docPr id="3" name="그림 3" descr="http://img.hani.co.kr/section-image/05/news2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hani.co.kr/section-image/05/news2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4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5E2" w:rsidRPr="006B25E2" w:rsidRDefault="006B25E2" w:rsidP="006B25E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5" w:lineRule="atLeast"/>
              <w:ind w:left="0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B25E2" w:rsidRPr="006B25E2" w:rsidRDefault="006B25E2" w:rsidP="006B25E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5" w:lineRule="atLeast"/>
              <w:ind w:left="0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6B25E2" w:rsidRPr="006B25E2" w:rsidRDefault="006B25E2" w:rsidP="006B25E2">
      <w:pPr>
        <w:widowControl/>
        <w:wordWrap/>
        <w:autoSpaceDE/>
        <w:autoSpaceDN/>
        <w:spacing w:line="245" w:lineRule="atLeast"/>
        <w:jc w:val="left"/>
        <w:rPr>
          <w:rFonts w:ascii="굴림" w:eastAsia="굴림" w:hAnsi="굴림" w:cs="굴림"/>
          <w:vanish/>
          <w:color w:val="000000"/>
          <w:kern w:val="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6B25E2" w:rsidRPr="006B25E2">
        <w:trPr>
          <w:tblCellSpacing w:w="0" w:type="dxa"/>
        </w:trPr>
        <w:tc>
          <w:tcPr>
            <w:tcW w:w="0" w:type="auto"/>
            <w:tcMar>
              <w:top w:w="1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5E2" w:rsidRPr="006B25E2" w:rsidRDefault="006B25E2" w:rsidP="006B25E2">
            <w:pPr>
              <w:widowControl/>
              <w:wordWrap/>
              <w:autoSpaceDE/>
              <w:autoSpaceDN/>
              <w:spacing w:line="245" w:lineRule="atLeast"/>
              <w:jc w:val="left"/>
              <w:divId w:val="501509465"/>
              <w:rPr>
                <w:rFonts w:ascii="돋움" w:eastAsia="돋움" w:hAnsi="돋움" w:cs="굴림"/>
                <w:b/>
                <w:bCs/>
                <w:color w:val="808080"/>
                <w:spacing w:val="-14"/>
                <w:kern w:val="0"/>
                <w:sz w:val="18"/>
                <w:szCs w:val="18"/>
              </w:rPr>
            </w:pPr>
            <w:r w:rsidRPr="006B25E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pict/>
            </w:r>
            <w:r w:rsidRPr="006B25E2">
              <w:rPr>
                <w:rFonts w:ascii="돋움" w:eastAsia="돋움" w:hAnsi="돋움" w:cs="굴림" w:hint="eastAsia"/>
                <w:b/>
                <w:bCs/>
                <w:color w:val="808080"/>
                <w:spacing w:val="-14"/>
                <w:kern w:val="0"/>
                <w:sz w:val="18"/>
                <w:szCs w:val="18"/>
              </w:rPr>
              <w:t>법원서 두 차례 중지 결정에도</w:t>
            </w:r>
            <w:r w:rsidRPr="006B25E2">
              <w:rPr>
                <w:rFonts w:ascii="돋움" w:eastAsia="돋움" w:hAnsi="돋움" w:cs="굴림" w:hint="eastAsia"/>
                <w:b/>
                <w:bCs/>
                <w:color w:val="808080"/>
                <w:spacing w:val="-14"/>
                <w:kern w:val="0"/>
                <w:sz w:val="18"/>
                <w:szCs w:val="18"/>
              </w:rPr>
              <w:br/>
              <w:t>현 집행부 후보 단독 출마 당선</w:t>
            </w:r>
            <w:r w:rsidRPr="006B25E2">
              <w:rPr>
                <w:rFonts w:ascii="돋움" w:eastAsia="돋움" w:hAnsi="돋움" w:cs="굴림" w:hint="eastAsia"/>
                <w:b/>
                <w:bCs/>
                <w:color w:val="808080"/>
                <w:spacing w:val="-14"/>
                <w:kern w:val="0"/>
                <w:sz w:val="18"/>
                <w:szCs w:val="18"/>
              </w:rPr>
              <w:br/>
              <w:t xml:space="preserve">상대후보 “선거 무효소송” 반발 </w:t>
            </w:r>
          </w:p>
          <w:tbl>
            <w:tblPr>
              <w:tblpPr w:leftFromText="45" w:rightFromText="45" w:vertAnchor="text" w:tblpXSpec="right" w:tblpYSpec="center"/>
              <w:tblW w:w="4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5084"/>
              <w:gridCol w:w="225"/>
            </w:tblGrid>
            <w:tr w:rsidR="006B25E2" w:rsidRPr="006B25E2" w:rsidTr="006B25E2">
              <w:trPr>
                <w:tblCellSpacing w:w="0" w:type="dxa"/>
              </w:trPr>
              <w:tc>
                <w:tcPr>
                  <w:tcW w:w="225" w:type="dxa"/>
                  <w:noWrap/>
                  <w:vAlign w:val="center"/>
                  <w:hideMark/>
                </w:tcPr>
                <w:p w:rsidR="006B25E2" w:rsidRPr="006B25E2" w:rsidRDefault="006B25E2" w:rsidP="006B25E2">
                  <w:pPr>
                    <w:widowControl/>
                    <w:wordWrap/>
                    <w:autoSpaceDE/>
                    <w:autoSpaceDN/>
                    <w:spacing w:line="24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84"/>
                  </w:tblGrid>
                  <w:tr w:rsidR="006B25E2" w:rsidRPr="006B25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25E2" w:rsidRPr="006B25E2" w:rsidRDefault="006B25E2" w:rsidP="006B25E2">
                        <w:pPr>
                          <w:widowControl/>
                          <w:wordWrap/>
                          <w:autoSpaceDE/>
                          <w:autoSpaceDN/>
                          <w:spacing w:line="245" w:lineRule="atLeast"/>
                          <w:jc w:val="center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3209290" cy="2924175"/>
                              <wp:effectExtent l="19050" t="0" r="0" b="0"/>
                              <wp:docPr id="16" name="그림 16" descr="http://img.hani.co.kr/imgdb/resize/2011/1210/00398355601_201112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g.hani.co.kr/imgdb/resize/2011/1210/00398355601_201112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9290" cy="292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B25E2" w:rsidRPr="006B25E2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25E2" w:rsidRPr="006B25E2" w:rsidRDefault="006B25E2" w:rsidP="006B25E2">
                        <w:pPr>
                          <w:widowControl/>
                          <w:wordWrap/>
                          <w:autoSpaceDE/>
                          <w:autoSpaceDN/>
                          <w:spacing w:line="245" w:lineRule="atLeast"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4"/>
                            <w:szCs w:val="16"/>
                          </w:rPr>
                        </w:pPr>
                      </w:p>
                    </w:tc>
                  </w:tr>
                </w:tbl>
                <w:p w:rsidR="006B25E2" w:rsidRPr="006B25E2" w:rsidRDefault="006B25E2" w:rsidP="006B25E2">
                  <w:pPr>
                    <w:widowControl/>
                    <w:wordWrap/>
                    <w:autoSpaceDE/>
                    <w:autoSpaceDN/>
                    <w:spacing w:line="24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:rsidR="006B25E2" w:rsidRPr="006B25E2" w:rsidRDefault="006B25E2" w:rsidP="006B25E2">
                  <w:pPr>
                    <w:widowControl/>
                    <w:wordWrap/>
                    <w:autoSpaceDE/>
                    <w:autoSpaceDN/>
                    <w:spacing w:line="24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B25E2" w:rsidRPr="006B25E2" w:rsidTr="006B25E2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6B25E2" w:rsidRPr="006B25E2" w:rsidRDefault="006B25E2" w:rsidP="006B25E2">
                  <w:pPr>
                    <w:widowControl/>
                    <w:wordWrap/>
                    <w:autoSpaceDE/>
                    <w:autoSpaceDN/>
                    <w:spacing w:line="245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B25E2" w:rsidRPr="006B25E2" w:rsidRDefault="006B25E2" w:rsidP="006B25E2">
            <w:pPr>
              <w:widowControl/>
              <w:wordWrap/>
              <w:autoSpaceDE/>
              <w:autoSpaceDN/>
              <w:spacing w:line="326" w:lineRule="atLeast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</w:pPr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법원에서 두 번이나 선거 중지 결정이 내려진 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케이티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(KT) 노동조합 위원장 선거에서 회사 쪽에 협조적인 정윤모 현 노조 부산지방본부장이 단독 후보로 나와 당선됐다. 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before="100" w:beforeAutospacing="1" w:after="100" w:afterAutospacing="1" w:line="326" w:lineRule="atLeast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</w:pP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케이티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노조는 8일 실시된 위원장 선거 결과, 투표인원 2만3384명 중 2만1276명(90.99%)이 찬성표를 던져 정 본부장이 11대 위원장에 당선됐다고 9일 밝혔다. 하지만 현 노조에 반대하는 일부 조합원들은 “이번 선거는 회사가 개입했을 뿐만 아니라 절차상 위법한 상태에서 치러졌다”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반발하고 있다. 이들은 위원장 직무정지 가처분 신청과 함께 선거무효소송을 내기로 했다. 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before="100" w:beforeAutospacing="1" w:after="100" w:afterAutospacing="1" w:line="326" w:lineRule="atLeast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</w:pPr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이번 선거는 법원이 두 번이나 중지 결정을 내리는 등 파행 속에 치러졌다. 수원지법 성남지원은 지난달 28일 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케이티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노조 선거</w:t>
            </w:r>
            <w:hyperlink r:id="rId10" w:tgtFrame="_blank" w:history="1">
              <w:r w:rsidRPr="006B25E2">
                <w:rPr>
                  <w:rFonts w:ascii="굴림" w:eastAsia="굴림" w:hAnsi="굴림" w:cs="굴림" w:hint="eastAsia"/>
                  <w:color w:val="173F8D"/>
                  <w:kern w:val="0"/>
                  <w:u w:val="single"/>
                </w:rPr>
                <w:t>관리</w:t>
              </w:r>
            </w:hyperlink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위원회가 입후보자 등록에 관한 사항을 공고하지 않아 규정을 위반했다며, 노조원 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조아무개씨가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낸 선거중지 가처분 신청을 받아들여 선거를 중지하라고 결정했다. 11월30일로 예정된 선거에는 정 당선자를 포함해 3명의 후보가 등록한 상태였다. 조씨는 후보로 나오려다 기간이 촉박해 조합원 추천서명을 받지 못하는 바람에 등록을 못하게 되자 가처분 신청을 냈다. 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before="100" w:beforeAutospacing="1" w:after="100" w:afterAutospacing="1" w:line="326" w:lineRule="atLeast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</w:pPr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법원의 결정이 나온 뒤 진보 성향의 장현일 후보 등 2명의 후보는 집행부와 선관위의 사퇴를 요구했다. 하지만 노조는 1차로 후보등록을 했던 후보자들이 받은 추천서명을 그대로 인정한 채 이달 8일 선거를 실시하겠다고 공고했다. 장 후보 등은 이에 반발해 등록을 거부했고, 조씨도 “선거 절차를 새로 밟아야 한다”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다시 법원에 선거중지 가처분 신청을 내 이달 6일 받아들여졌다. 이에 따라 노조 선거가 중단될 것으로 예상됐지만 조씨가 선거 하루 전인 7일 느닷없이 가처분 신청을 취하하면서 극적으로 선거가 진행된 것이다. 조씨의 법률대리를 맡았던 한국노총 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법률원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관계자는 “조씨가 법률대리인에게 알리지도 않고 가처분을 취하해 황당했다”고 말했다. 장 후보 쪽은 “회사와 조씨가 ‘거래’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를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했을 가능성이 높다”</w:t>
            </w: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“부당노동행위로 고용노동부에 진정을 할 것”이라고 밝혔다. </w:t>
            </w:r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lastRenderedPageBreak/>
              <w:t xml:space="preserve">조씨는 현재 연락두절 상태다. 뒤늦게 장 후보 등이 선거중지 가처분 신청을 냈지만 이미 선거가 시작돼 실익이 없다고 판단한 재판부는 가처분 신청을 기각했다. 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before="100" w:beforeAutospacing="1" w:after="100" w:afterAutospacing="1" w:line="326" w:lineRule="atLeast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</w:pPr>
            <w:proofErr w:type="spellStart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케이티</w:t>
            </w:r>
            <w:proofErr w:type="spellEnd"/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노조는 “조씨가 소를 취하했고, 세 번째로 낸 가처분 신청도 기각된 만큼 노조 선거는 전혀 문제가 없다”고 말했다. </w:t>
            </w:r>
          </w:p>
          <w:p w:rsidR="006B25E2" w:rsidRPr="006B25E2" w:rsidRDefault="006B25E2" w:rsidP="006B25E2">
            <w:pPr>
              <w:widowControl/>
              <w:wordWrap/>
              <w:autoSpaceDE/>
              <w:autoSpaceDN/>
              <w:spacing w:before="100" w:beforeAutospacing="1" w:after="100" w:afterAutospacing="1" w:line="326" w:lineRule="atLeast"/>
              <w:jc w:val="left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김소연 기자 </w:t>
            </w:r>
            <w:hyperlink r:id="rId11" w:history="1">
              <w:r w:rsidRPr="006B25E2">
                <w:rPr>
                  <w:rFonts w:ascii="돋움" w:eastAsia="돋움" w:hAnsi="돋움" w:cs="굴림" w:hint="eastAsia"/>
                  <w:color w:val="666666"/>
                  <w:kern w:val="0"/>
                  <w:sz w:val="19"/>
                </w:rPr>
                <w:t>dandy@hani.co.kr</w:t>
              </w:r>
            </w:hyperlink>
            <w:r w:rsidRPr="006B25E2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422D1" w:rsidRPr="006B25E2" w:rsidRDefault="006B25E2"/>
    <w:sectPr w:rsidR="001422D1" w:rsidRPr="006B25E2" w:rsidSect="00A734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3A3"/>
    <w:multiLevelType w:val="multilevel"/>
    <w:tmpl w:val="3F0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B25E2"/>
    <w:rsid w:val="0043492B"/>
    <w:rsid w:val="006B25E2"/>
    <w:rsid w:val="00A7342B"/>
    <w:rsid w:val="00D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E2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6B25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y@hani.co.kr" TargetMode="External"/><Relationship Id="rId11" Type="http://schemas.openxmlformats.org/officeDocument/2006/relationships/hyperlink" Target="mailto:dandy@hani.co.kr" TargetMode="External"/><Relationship Id="rId5" Type="http://schemas.openxmlformats.org/officeDocument/2006/relationships/hyperlink" Target="http://www.hani.co.kr/arti/HKRONLY/" TargetMode="External"/><Relationship Id="rId10" Type="http://schemas.openxmlformats.org/officeDocument/2006/relationships/hyperlink" Target="http://click.contentlink.co.kr/click/ovclick.php?ad_type=W_C_CL_hani2_web_10&amp;host=www.icmi.kr&amp;affiliate_id=hani2_web&amp;type=_kl&amp;where=text&amp;keyword=%B0%FC%B8%AE&amp;url=http%3A%2F%2Frc.asia.srv.overture.com%2Fd%2Fsr%2F%3Fxargs%3D20ATn2HJ1dtjfbJXMhzo-wUvMNOPEO4aH1j0EdBgOafk95JV72EMlPmNJ39xCroRAayVsSVGg8wdzBRRcFax_WUvWKpalmbPcRu4Rf5IAXR0k97t40bHY9kBsnj50gQiCql2ZzrhYpCG13sNg3Dza7zXznZBgeWU6aziEqj-SegyJqBYJndl1Jbbh03Jicq546Prq8kPQteqelaCng4uBa4qWoFwoSdbR0J1GRg6RekcSHJN0_KwNaTis.000000006c6ffa1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2011-12-10T03:47:00Z</dcterms:created>
  <dcterms:modified xsi:type="dcterms:W3CDTF">2011-12-10T03:54:00Z</dcterms:modified>
</cp:coreProperties>
</file>